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59</w:t>
      </w:r>
    </w:p>
    <w:p>
      <w:r>
        <w:t>Bundesgericht (BGE), 2001-10-24, DE</w:t>
      </w:r>
    </w:p>
    <w:p>
      <w:r>
        <w:rPr>
          <w:b/>
        </w:rPr>
        <w:t xml:space="preserve">Quelle: </w:t>
      </w:r>
      <w:r>
        <w:t>https://mcp.opencaselaw.ch/entscheid/bge_128 I 59</w:t>
      </w:r>
    </w:p>
    <w:p>
      <w:r>
        <w:t>FR: ATF 128 I 59</w:t>
      </w:r>
    </w:p>
    <w:p>
      <w:r>
        <w:t>IT: DTF 128 I 59</w:t>
      </w:r>
    </w:p>
    <w:p>
      <w:pPr>
        <w:pStyle w:val="Heading2"/>
      </w:pPr>
      <w:r>
        <w:t>Regeste</w:t>
      </w:r>
    </w:p>
    <w:p>
      <w:r>
        <w:t>Regeste Anwendbarkeit von Art. 6 Ziff. 1 EMRK bei Beschwerden gegen eine Mobilfunksendeanlage. Art. 6 Ziff. 1 EMRK ist anwendbar, wenn ein Beschwerdeführer geltend macht, auf seinem Grundstück seien die Immissions- oder Anlagegrenzwerte der NISV überschritten (E. 2).</w:t>
      </w:r>
    </w:p>
    <w:p>
      <w:pPr>
        <w:pStyle w:val="Heading2"/>
      </w:pPr>
      <w:r>
        <w:t>Erwägungen</w:t>
      </w:r>
    </w:p>
    <w:p>
      <w:r>
        <w:rPr>
          <w:b/>
        </w:rPr>
        <w:t>E. 2</w:t>
      </w:r>
    </w:p>
    <w:p>
      <w:r>
        <w:t>a) In formeller Hinsicht rügen die Beschwerdeführer zunächst eine Verletzung von Art. 6 Ziff. 1 EMRK (SR 0.101) und Art. 30 BV , weil das Verwaltungsgericht ihren Antrag auf Durchführung einer mündlichen Verhandlung abgelehnt hat. Das Verwaltungsgericht verneinte einen Anspruch auf eine öffentliche Parteiverhandlung gemäss Art. 6 EMRK : Zum einen hätten die Beschwerdeführer eine Verhandlung ausdrücklich nur "im Sinne des rechtlichen Gehörs" verlangt und nicht unter Berufung auf Art. 6 EMRK ; zudem sei diese Bestimmung gar nicht anwendbar. aa) Es erscheint fraglich, ob der Antrag auf Durchführung einer mündlichen Verhandlung unter Berufung auf das rechtliche Gehör als eindeutiger Verzicht auf den Anspruch auf eine öffentliche BGE 128 I 59 S. 61 Verhandlung gemäss Art. 6 EMRK ausgelegt werden kann (zu den Verzichtsvoraussetzungen vgl. Urteile des Europäischen Gerichtshofs i.S. Schuler-Zgraggen c. Schweiz vom 24. Juni 1993, Serie A Bd. 263 Ziff. 58; i.S. Sauger c. Österreich vom 28. Mai 1997, Recueil des arrêts et décisions 1997 S. 881 ff. Ziff. 58-63; i.S. Gustafson c. Schweden vom 1. Juli 1997, Recueil 1997 S. 1149 ff. Ziff. 47, je mit Hinweisen), zumal die Beschwerdeführer vor Verwaltungsgericht nicht anwaltlich vertreten waren. Die Frage kann allerdings offen bleiben, wenn Art. 6 Ziff. 1 EMRK auf den vorliegenden Fall nicht anwendbar ist. bb) Gemäss Art. 6 Ziff. 1 EMRK hat jedermann Anspruch darauf, dass seine Sache in Streitigkeiten über zivilrechtliche Ansprüche und Verpflichtungen in billiger Weise öffentlich von einem unabhängigen und unparteiischen, auf Gesetz beruhenden Gericht gehört wird. In seiner neueren Rechtsprechung bejaht das Bundesgericht das Vorliegen von "zivilrechtlichen" Ansprüchen im Sinne von Art. 6 EMRK im Bau- und Planungsrecht, wenn ein Nachbar die Verletzung von Normen geltend macht, die auch seinem Schutz dienen. Diese Normen umschreiben den Umfang der Nutzungsrechte des Nachbarn; werden solche Normen verletzt, wird er somit in seinen "civil rights" im Sinne von Art. 6 Ziff. 1 EMRK berührt und kann sich auf diese Bestimmung berufen ( BGE 127 I 44 E. 2c S. 45 f.). Nicht anwendbar ist dagegen Art. 6 EMRK , wenn lediglich die Einhaltung öffentlichrechtlicher Bestimmungen verfolgt wird (vgl. auch JOCHEN ABR. FROWEIN/WOLFGANG PEUKERT, Europäische Menschenrechtskonvention, EMRK-Kommentar, 2. Aufl., S. 191). Das Bundesgesetz vom 7. Oktober 1983 über den Umweltschutz (Umweltschutzgesetz, USG; SR 814.01) bezweckt im Bereich des Immissionsschutzes, Menschen gegen schädliche oder lästige Einwirkungen zu schützen ( Art. 1 Abs. 1 USG ); zudem sollen im Sinne der Vorsorge Einwirkungen, die schädlich oder lästig werden könnten, frühzeitig begrenzt werden. Diese beiden Schutzzwecke (Schutz vor schädlichen und lästigen Einwirkungen einerseits, vorsorgliche Emissionsbegrenzung andererseits) werden in Art. 11 ff. USG aufgegriffen: Gemäss Art. 11 Abs. 2 USG sind Emissionen unabhängig von der bestehenden Umweltbelastung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Für die Beurteilung der BGE 128 I 59 S. 62 schädlichen oder lästigen Einwirkungen legt der Bundesrat durch Verordnung Immissionsgrenzwerte fest ( Art. 13 Abs. 1 USG ). Soweit es um den Schutz vor schädlichen oder lästigen Immissionen geht, dient die Emissionsbegrenzung nicht nur dem öffentlichen Interesse am Umweltschutz, sondern bezweckt den Schutz der Personen, die im näheren Umkreis der emittierenden Anlagen wohnen. Art. 6 EMRK ist somit einschlägig, wenn ein Beschwerdeführer geltend macht, die Immissionsgrenzwerte seien auf seinem Grundstück überschritten. Dagegen erscheint es fraglich, ob dies generell auch dann gilt, wenn der Beschwerdeführer nur eine weitergehende vorsorgliche Emissionsbegrenzung verlangt, da diese der Prävention dient und unabhängig von einer konkreten Umweltgefährdung angeordnet wird. Im Bereich der nichtionisierenden Strahlung sind allerdings die Anlagegrenzwerte nicht als Emissions-, sondern als Immissionsgrenzwerte (recte: Immissionsgrenzwerte, i.S.v. am Ort des Einwirkens gemessenen Belastungswerten) ausgestaltet, die an "Orten mit empfindlicher Nutzung" einzuhalten sind. Sie sollen den bestehenden Unsicherheiten über mögliche biologische (nicht thermische) Langzeitwirkungen im Niedrigdosisbereich Rechnung tragen (vgl. BUWAL, Erläuternder Bericht zur NISV vom 23. Dezember 1999, S. 5 f.). Sie geben einen Anspruch auf Einhaltung der Anlagegrenzwerte u.a. in Räumen, in denen sich Personen regelmässig während längerer Zeit aufhalten. Auch diese Bestimmungen sind deshalb als nachbarschützend zu qualifizieren. Art. 6 EMRK wäre daher anwendbar, wenn die Beschwerdeführer geltend machen würden, auf ihrem Grundstück seien die Immissions- oder Anlagegrenzwerte der NISV überschritten. Das ist jedoch nicht der Fall: Die Beschwerdeführer stellen vielmehr generell die Gesetzmässigkeit der NISV in Frage und kritisieren das von Mobilfunkanlagen für die gesamte Bevölkerung ausgehende Risiko. cc) Die Anwendbarkeit von Art. 6 EMRK wäre nach der Rechtsprechung des EGMR überdies - unabhängig von der Ausgestaltung des nationalen Rechts - zu bejahen, wenn mit hinreichender Wahrscheinlichkeit ernsthafte Auswirkungen für die Gesundheit oder körperliche Integrität der Beschwerdeführer zu befürchten wären (vgl. Urteile i.S. Balmer-Schafroth c. Schweiz vom 26. August 1997, Recueil 1997 S. 1346 ff. Ziff. 30 ff., insbes. Ziff. 40; i.S. Athanassoglou u. Mitb. c. Schweiz vom 6. April 2000, in: VPB 2000 Nr. 136 Ziff. 45 ff.). Das Verwaltungsgericht hat jedoch eine derartige BGE 128 I 59 S. 63 Gefahr für die - in beträchtlicher Entfernung von der Antennenanlage wohnenden - Beschwerdeführer zu Recht verneint. dd) Nach dem Gesagten hat das Verwaltungsgericht Art. 6 EMRK nicht verletzt, als es von der Durchführung einer öffentlichen Parteiverhandlung absah.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